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BCE17" w14:textId="5F727B1A" w:rsidR="00C45CC3" w:rsidRPr="00C45CC3" w:rsidRDefault="00C45CC3" w:rsidP="00C45CC3">
      <w:pPr>
        <w:spacing w:after="0" w:line="360" w:lineRule="auto"/>
        <w:ind w:left="1134" w:right="1134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C45CC3">
        <w:rPr>
          <w:rFonts w:ascii="Palatino Linotype" w:hAnsi="Palatino Linotype"/>
          <w:b/>
          <w:bCs/>
          <w:sz w:val="28"/>
          <w:szCs w:val="28"/>
        </w:rPr>
        <w:t xml:space="preserve">LA LEGGE «CALDEROLI» SULL’AUTONOMIA REGIONALE </w:t>
      </w:r>
      <w:r w:rsidR="0045288A">
        <w:rPr>
          <w:rFonts w:ascii="Palatino Linotype" w:hAnsi="Palatino Linotype"/>
          <w:b/>
          <w:bCs/>
          <w:sz w:val="28"/>
          <w:szCs w:val="28"/>
        </w:rPr>
        <w:t xml:space="preserve">DIFFERENZIATA </w:t>
      </w:r>
    </w:p>
    <w:p w14:paraId="4F686721" w14:textId="73493AA5" w:rsidR="00C45CC3" w:rsidRPr="00C45CC3" w:rsidRDefault="00C45CC3" w:rsidP="00C45CC3">
      <w:pPr>
        <w:spacing w:after="0" w:line="360" w:lineRule="auto"/>
        <w:ind w:left="1134" w:right="1134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C45CC3">
        <w:rPr>
          <w:rFonts w:ascii="Palatino Linotype" w:hAnsi="Palatino Linotype"/>
          <w:b/>
          <w:bCs/>
          <w:sz w:val="28"/>
          <w:szCs w:val="28"/>
        </w:rPr>
        <w:t xml:space="preserve">E </w:t>
      </w:r>
    </w:p>
    <w:p w14:paraId="002338A5" w14:textId="4AD7AF2E" w:rsidR="003D304B" w:rsidRDefault="00C45CC3" w:rsidP="00C45CC3">
      <w:pPr>
        <w:spacing w:after="0" w:line="360" w:lineRule="auto"/>
        <w:ind w:left="1134" w:right="1134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C45CC3">
        <w:rPr>
          <w:rFonts w:ascii="Palatino Linotype" w:hAnsi="Palatino Linotype"/>
          <w:b/>
          <w:bCs/>
          <w:sz w:val="28"/>
          <w:szCs w:val="28"/>
        </w:rPr>
        <w:t>LA QUESTIONE DEL REFERENDUM ABROGATIVO</w:t>
      </w:r>
    </w:p>
    <w:p w14:paraId="1263C7F5" w14:textId="77777777" w:rsidR="00C45CC3" w:rsidRDefault="00C45CC3" w:rsidP="00C45CC3">
      <w:pPr>
        <w:spacing w:after="0" w:line="360" w:lineRule="auto"/>
        <w:ind w:left="1134" w:right="1134"/>
        <w:jc w:val="center"/>
        <w:rPr>
          <w:rFonts w:ascii="Palatino Linotype" w:hAnsi="Palatino Linotype"/>
          <w:b/>
          <w:bCs/>
          <w:sz w:val="28"/>
          <w:szCs w:val="28"/>
        </w:rPr>
      </w:pPr>
    </w:p>
    <w:p w14:paraId="642B0BB3" w14:textId="69EA32AB" w:rsidR="00C45CC3" w:rsidRDefault="00C45CC3" w:rsidP="00C45CC3">
      <w:pPr>
        <w:spacing w:after="0" w:line="360" w:lineRule="auto"/>
        <w:ind w:left="1134" w:right="1134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 cura di Daniele Trabucco (*) </w:t>
      </w:r>
      <w:r w:rsidR="00D56384">
        <w:rPr>
          <w:rFonts w:ascii="Palatino Linotype" w:hAnsi="Palatino Linotype"/>
          <w:sz w:val="24"/>
          <w:szCs w:val="24"/>
        </w:rPr>
        <w:t xml:space="preserve">e don Roberto Caria (**) </w:t>
      </w:r>
    </w:p>
    <w:p w14:paraId="584585D1" w14:textId="77777777" w:rsidR="00C45CC3" w:rsidRDefault="00C45CC3" w:rsidP="00C45CC3">
      <w:pPr>
        <w:spacing w:after="0" w:line="360" w:lineRule="auto"/>
        <w:ind w:left="1134" w:right="1134"/>
        <w:jc w:val="center"/>
        <w:rPr>
          <w:rFonts w:ascii="Palatino Linotype" w:hAnsi="Palatino Linotype"/>
          <w:sz w:val="24"/>
          <w:szCs w:val="24"/>
        </w:rPr>
      </w:pPr>
    </w:p>
    <w:p w14:paraId="65A8F983" w14:textId="7AD5A78A" w:rsidR="00C45CC3" w:rsidRDefault="00C45CC3" w:rsidP="00C45CC3">
      <w:pPr>
        <w:spacing w:after="0" w:line="360" w:lineRule="auto"/>
        <w:ind w:left="1134" w:right="113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Nella Gazzetta Ufficiale della Repubblica italiana n. 150 del 28 giugno 2024 (Serie generale) è stata pubblicata la legge ordinaria dello Stato 26 giugno 2024, n. 86, in vigore dal 13 luglio, inerente al c.d. «regionalismo differenziato»</w:t>
      </w:r>
      <w:r w:rsidR="00F514A3">
        <w:rPr>
          <w:rFonts w:ascii="Palatino Linotype" w:hAnsi="Palatino Linotype"/>
          <w:sz w:val="24"/>
          <w:szCs w:val="24"/>
        </w:rPr>
        <w:t xml:space="preserve"> o «regionalismo a doppia velocità»</w:t>
      </w:r>
      <w:r>
        <w:rPr>
          <w:rFonts w:ascii="Palatino Linotype" w:hAnsi="Palatino Linotype"/>
          <w:sz w:val="24"/>
          <w:szCs w:val="24"/>
        </w:rPr>
        <w:t>, ovvero la possibilità, per tutte le Regioni a Statuto ordinario, di ottenere «</w:t>
      </w:r>
      <w:r w:rsidRPr="00C45CC3">
        <w:rPr>
          <w:rFonts w:ascii="Palatino Linotype" w:hAnsi="Palatino Linotype"/>
          <w:i/>
          <w:iCs/>
          <w:sz w:val="24"/>
          <w:szCs w:val="24"/>
        </w:rPr>
        <w:t>forme e condizioni particolari di autonomia</w:t>
      </w:r>
      <w:r>
        <w:rPr>
          <w:rFonts w:ascii="Palatino Linotype" w:hAnsi="Palatino Linotype"/>
          <w:sz w:val="24"/>
          <w:szCs w:val="24"/>
        </w:rPr>
        <w:t xml:space="preserve">» </w:t>
      </w:r>
      <w:r w:rsidR="00CD03AE">
        <w:rPr>
          <w:rFonts w:ascii="Palatino Linotype" w:hAnsi="Palatino Linotype"/>
          <w:sz w:val="24"/>
          <w:szCs w:val="24"/>
        </w:rPr>
        <w:t xml:space="preserve">(legislativa ed amministrativa con le relative risorse) </w:t>
      </w:r>
      <w:r>
        <w:rPr>
          <w:rFonts w:ascii="Palatino Linotype" w:hAnsi="Palatino Linotype"/>
          <w:sz w:val="24"/>
          <w:szCs w:val="24"/>
        </w:rPr>
        <w:t xml:space="preserve">in tutte le materie di potestà legislativa ripartita tra Stato e Regioni, indicate nel comma 3 dell’art. 117 della Costituzione italiana vigente, ed in alcune rientranti nella potestà legislativa esclusiva dello Stato </w:t>
      </w:r>
      <w:r w:rsidR="00CD03AE">
        <w:rPr>
          <w:rFonts w:ascii="Palatino Linotype" w:hAnsi="Palatino Linotype"/>
          <w:sz w:val="24"/>
          <w:szCs w:val="24"/>
        </w:rPr>
        <w:t xml:space="preserve">di cui al comma 2 dell’art. 117 </w:t>
      </w:r>
      <w:r>
        <w:rPr>
          <w:rFonts w:ascii="Palatino Linotype" w:hAnsi="Palatino Linotype"/>
          <w:sz w:val="24"/>
          <w:szCs w:val="24"/>
        </w:rPr>
        <w:t xml:space="preserve">(ad esempio, l’organizzazione degli uffici del giudice di pace, </w:t>
      </w:r>
      <w:r w:rsidR="002C4EAB">
        <w:rPr>
          <w:rFonts w:ascii="Palatino Linotype" w:hAnsi="Palatino Linotype"/>
          <w:sz w:val="24"/>
          <w:szCs w:val="24"/>
        </w:rPr>
        <w:t xml:space="preserve">le </w:t>
      </w:r>
      <w:r>
        <w:rPr>
          <w:rFonts w:ascii="Palatino Linotype" w:hAnsi="Palatino Linotype"/>
          <w:sz w:val="24"/>
          <w:szCs w:val="24"/>
        </w:rPr>
        <w:t xml:space="preserve">norme generali sull’istruzione e </w:t>
      </w:r>
      <w:r w:rsidR="002C4EAB">
        <w:rPr>
          <w:rFonts w:ascii="Palatino Linotype" w:hAnsi="Palatino Linotype"/>
          <w:sz w:val="24"/>
          <w:szCs w:val="24"/>
        </w:rPr>
        <w:t xml:space="preserve">la </w:t>
      </w:r>
      <w:r>
        <w:rPr>
          <w:rFonts w:ascii="Palatino Linotype" w:hAnsi="Palatino Linotype"/>
          <w:sz w:val="24"/>
          <w:szCs w:val="24"/>
        </w:rPr>
        <w:t xml:space="preserve">tutela dell’ambiente, dell’ecosistema e dei beni culturali). </w:t>
      </w:r>
    </w:p>
    <w:p w14:paraId="3092266E" w14:textId="77777777" w:rsidR="00F863A1" w:rsidRDefault="00CD03AE" w:rsidP="00C45CC3">
      <w:pPr>
        <w:spacing w:after="0" w:line="360" w:lineRule="auto"/>
        <w:ind w:left="1134" w:right="113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Ora, in via preliminare, è doveroso chiarire che la legge in esame, fortemente voluta dal</w:t>
      </w:r>
      <w:r w:rsidR="002C4EAB">
        <w:rPr>
          <w:rFonts w:ascii="Palatino Linotype" w:hAnsi="Palatino Linotype"/>
          <w:sz w:val="24"/>
          <w:szCs w:val="24"/>
        </w:rPr>
        <w:t xml:space="preserve"> gruppo parlamentare</w:t>
      </w:r>
      <w:r>
        <w:rPr>
          <w:rFonts w:ascii="Palatino Linotype" w:hAnsi="Palatino Linotype"/>
          <w:sz w:val="24"/>
          <w:szCs w:val="24"/>
        </w:rPr>
        <w:t xml:space="preserve"> Lega-Salvini </w:t>
      </w:r>
      <w:r w:rsidRPr="00CD03AE">
        <w:rPr>
          <w:rFonts w:ascii="Palatino Linotype" w:hAnsi="Palatino Linotype"/>
          <w:i/>
          <w:iCs/>
          <w:sz w:val="24"/>
          <w:szCs w:val="24"/>
        </w:rPr>
        <w:t>Premier</w:t>
      </w:r>
      <w:r>
        <w:rPr>
          <w:rFonts w:ascii="Palatino Linotype" w:hAnsi="Palatino Linotype"/>
          <w:sz w:val="24"/>
          <w:szCs w:val="24"/>
        </w:rPr>
        <w:t>, non conferisce alcuna autonomia, ma si limita a dare attuazione</w:t>
      </w:r>
      <w:r w:rsidR="002C4EAB">
        <w:rPr>
          <w:rFonts w:ascii="Palatino Linotype" w:hAnsi="Palatino Linotype"/>
          <w:sz w:val="24"/>
          <w:szCs w:val="24"/>
        </w:rPr>
        <w:t>, in termini di procedimento da seguire,</w:t>
      </w:r>
      <w:r>
        <w:rPr>
          <w:rFonts w:ascii="Palatino Linotype" w:hAnsi="Palatino Linotype"/>
          <w:sz w:val="24"/>
          <w:szCs w:val="24"/>
        </w:rPr>
        <w:t xml:space="preserve"> alla disposizione costituzionale contenuta nel comma 3 dell’art. 116 del Testo fondamentale</w:t>
      </w:r>
      <w:r w:rsidR="002C4EAB">
        <w:rPr>
          <w:rFonts w:ascii="Palatino Linotype" w:hAnsi="Palatino Linotype"/>
          <w:sz w:val="24"/>
          <w:szCs w:val="24"/>
        </w:rPr>
        <w:t>,</w:t>
      </w:r>
      <w:r>
        <w:rPr>
          <w:rFonts w:ascii="Palatino Linotype" w:hAnsi="Palatino Linotype"/>
          <w:sz w:val="24"/>
          <w:szCs w:val="24"/>
        </w:rPr>
        <w:t xml:space="preserve"> la cui attuale formulazione si deve alla legge di revisione costituzionale 18 ottobre 2001, n. 3 di riforma del Titolo V. </w:t>
      </w:r>
      <w:r w:rsidR="002C4EAB">
        <w:rPr>
          <w:rFonts w:ascii="Palatino Linotype" w:hAnsi="Palatino Linotype"/>
          <w:sz w:val="24"/>
          <w:szCs w:val="24"/>
        </w:rPr>
        <w:t xml:space="preserve">Sul punto, peraltro, non sono mancati dubbi, avanzati da autorevolissima dottrina costituzionalistica (Omar </w:t>
      </w:r>
      <w:r w:rsidR="002C4EAB">
        <w:rPr>
          <w:rFonts w:ascii="Palatino Linotype" w:hAnsi="Palatino Linotype"/>
          <w:sz w:val="24"/>
          <w:szCs w:val="24"/>
        </w:rPr>
        <w:lastRenderedPageBreak/>
        <w:t>Chessa), secondo cui il disposto costituzionale, più che problemi di attuazione, poneva e pone problemi di interpretazione</w:t>
      </w:r>
      <w:r w:rsidR="00F514A3">
        <w:rPr>
          <w:rFonts w:ascii="Palatino Linotype" w:hAnsi="Palatino Linotype"/>
          <w:sz w:val="24"/>
          <w:szCs w:val="24"/>
        </w:rPr>
        <w:t>, sebbene una legge attuativa p</w:t>
      </w:r>
      <w:r w:rsidR="00F863A1">
        <w:rPr>
          <w:rFonts w:ascii="Palatino Linotype" w:hAnsi="Palatino Linotype"/>
          <w:sz w:val="24"/>
          <w:szCs w:val="24"/>
        </w:rPr>
        <w:t>ossa</w:t>
      </w:r>
      <w:r w:rsidR="00F514A3">
        <w:rPr>
          <w:rFonts w:ascii="Palatino Linotype" w:hAnsi="Palatino Linotype"/>
          <w:sz w:val="24"/>
          <w:szCs w:val="24"/>
        </w:rPr>
        <w:t xml:space="preserve"> evitare procedure e discipline diversificate come avvenuto in passato </w:t>
      </w:r>
      <w:r w:rsidR="00F863A1">
        <w:rPr>
          <w:rFonts w:ascii="Palatino Linotype" w:hAnsi="Palatino Linotype"/>
          <w:sz w:val="24"/>
          <w:szCs w:val="24"/>
        </w:rPr>
        <w:t>in occasione del</w:t>
      </w:r>
      <w:r w:rsidR="00F514A3">
        <w:rPr>
          <w:rFonts w:ascii="Palatino Linotype" w:hAnsi="Palatino Linotype"/>
          <w:sz w:val="24"/>
          <w:szCs w:val="24"/>
        </w:rPr>
        <w:t xml:space="preserve">la conclusione delle intese tra lo Stato e le confessioni religiose diversa da quella cattolica </w:t>
      </w:r>
      <w:r w:rsidR="00F514A3" w:rsidRPr="00F514A3">
        <w:rPr>
          <w:rFonts w:ascii="Palatino Linotype" w:hAnsi="Palatino Linotype"/>
          <w:i/>
          <w:iCs/>
          <w:sz w:val="24"/>
          <w:szCs w:val="24"/>
        </w:rPr>
        <w:t xml:space="preserve">ex </w:t>
      </w:r>
      <w:r w:rsidR="00F514A3">
        <w:rPr>
          <w:rFonts w:ascii="Palatino Linotype" w:hAnsi="Palatino Linotype"/>
          <w:sz w:val="24"/>
          <w:szCs w:val="24"/>
        </w:rPr>
        <w:t>art. 8, comma 3, Cost.</w:t>
      </w:r>
      <w:r w:rsidR="002C4EAB">
        <w:rPr>
          <w:rFonts w:ascii="Palatino Linotype" w:hAnsi="Palatino Linotype"/>
          <w:sz w:val="24"/>
          <w:szCs w:val="24"/>
        </w:rPr>
        <w:t xml:space="preserve">. </w:t>
      </w:r>
    </w:p>
    <w:p w14:paraId="5AB45D70" w14:textId="066F9A95" w:rsidR="00CD03AE" w:rsidRDefault="0045288A" w:rsidP="00F863A1">
      <w:pPr>
        <w:spacing w:after="0" w:line="360" w:lineRule="auto"/>
        <w:ind w:left="1134" w:right="1134" w:firstLine="282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Il </w:t>
      </w:r>
      <w:r w:rsidR="002C4EAB">
        <w:rPr>
          <w:rFonts w:ascii="Palatino Linotype" w:hAnsi="Palatino Linotype"/>
          <w:sz w:val="24"/>
          <w:szCs w:val="24"/>
        </w:rPr>
        <w:t>testo della legge c.d. «Calderoli»</w:t>
      </w:r>
      <w:r>
        <w:rPr>
          <w:rFonts w:ascii="Palatino Linotype" w:hAnsi="Palatino Linotype"/>
          <w:sz w:val="24"/>
          <w:szCs w:val="24"/>
        </w:rPr>
        <w:t>, inoltre,</w:t>
      </w:r>
      <w:r w:rsidR="002C4EAB">
        <w:rPr>
          <w:rFonts w:ascii="Palatino Linotype" w:hAnsi="Palatino Linotype"/>
          <w:sz w:val="24"/>
          <w:szCs w:val="24"/>
        </w:rPr>
        <w:t xml:space="preserve"> pare aggravare in molti punti l’</w:t>
      </w:r>
      <w:r w:rsidR="002C4EAB" w:rsidRPr="002C4EAB">
        <w:rPr>
          <w:rFonts w:ascii="Palatino Linotype" w:hAnsi="Palatino Linotype"/>
          <w:i/>
          <w:iCs/>
          <w:sz w:val="24"/>
          <w:szCs w:val="24"/>
        </w:rPr>
        <w:t>iter</w:t>
      </w:r>
      <w:r w:rsidR="002C4EAB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essenziale </w:t>
      </w:r>
      <w:r w:rsidR="002C4EAB">
        <w:rPr>
          <w:rFonts w:ascii="Palatino Linotype" w:hAnsi="Palatino Linotype"/>
          <w:sz w:val="24"/>
          <w:szCs w:val="24"/>
        </w:rPr>
        <w:t xml:space="preserve">delineato dalla Costituzione, relegando i due rami del Parlamento </w:t>
      </w:r>
      <w:r w:rsidR="00F863A1">
        <w:rPr>
          <w:rFonts w:ascii="Palatino Linotype" w:hAnsi="Palatino Linotype"/>
          <w:sz w:val="24"/>
          <w:szCs w:val="24"/>
        </w:rPr>
        <w:t>alla semplice adozione</w:t>
      </w:r>
      <w:r w:rsidR="002C4EAB">
        <w:rPr>
          <w:rFonts w:ascii="Palatino Linotype" w:hAnsi="Palatino Linotype"/>
          <w:sz w:val="24"/>
          <w:szCs w:val="24"/>
        </w:rPr>
        <w:t xml:space="preserve">, </w:t>
      </w:r>
      <w:r w:rsidR="00F514A3">
        <w:rPr>
          <w:rFonts w:ascii="Palatino Linotype" w:hAnsi="Palatino Linotype"/>
          <w:sz w:val="24"/>
          <w:szCs w:val="24"/>
        </w:rPr>
        <w:t xml:space="preserve">così si legge nell’ </w:t>
      </w:r>
      <w:r w:rsidR="002C4EAB">
        <w:rPr>
          <w:rFonts w:ascii="Palatino Linotype" w:hAnsi="Palatino Linotype"/>
          <w:sz w:val="24"/>
          <w:szCs w:val="24"/>
        </w:rPr>
        <w:t xml:space="preserve">art. 2, comma 8, </w:t>
      </w:r>
      <w:r w:rsidR="00F863A1">
        <w:rPr>
          <w:rFonts w:ascii="Palatino Linotype" w:hAnsi="Palatino Linotype"/>
          <w:sz w:val="24"/>
          <w:szCs w:val="24"/>
        </w:rPr>
        <w:t xml:space="preserve">di </w:t>
      </w:r>
      <w:r w:rsidR="002C4EAB">
        <w:rPr>
          <w:rFonts w:ascii="Palatino Linotype" w:hAnsi="Palatino Linotype"/>
          <w:sz w:val="24"/>
          <w:szCs w:val="24"/>
        </w:rPr>
        <w:t>una «</w:t>
      </w:r>
      <w:r w:rsidR="002C4EAB" w:rsidRPr="002C4EAB">
        <w:rPr>
          <w:rFonts w:ascii="Palatino Linotype" w:hAnsi="Palatino Linotype"/>
          <w:i/>
          <w:iCs/>
          <w:sz w:val="24"/>
          <w:szCs w:val="24"/>
        </w:rPr>
        <w:t>deliberazione</w:t>
      </w:r>
      <w:r w:rsidR="002C4EAB">
        <w:rPr>
          <w:rFonts w:ascii="Palatino Linotype" w:hAnsi="Palatino Linotype"/>
          <w:sz w:val="24"/>
          <w:szCs w:val="24"/>
        </w:rPr>
        <w:t xml:space="preserve">» (quando il Testo costituzionale parla chiaramente </w:t>
      </w:r>
      <w:r w:rsidR="00F863A1">
        <w:rPr>
          <w:rFonts w:ascii="Palatino Linotype" w:hAnsi="Palatino Linotype"/>
          <w:sz w:val="24"/>
          <w:szCs w:val="24"/>
        </w:rPr>
        <w:t xml:space="preserve">ed espressamente </w:t>
      </w:r>
      <w:r w:rsidR="002C4EAB">
        <w:rPr>
          <w:rFonts w:ascii="Palatino Linotype" w:hAnsi="Palatino Linotype"/>
          <w:sz w:val="24"/>
          <w:szCs w:val="24"/>
        </w:rPr>
        <w:t>di «</w:t>
      </w:r>
      <w:r w:rsidR="002C4EAB" w:rsidRPr="002C4EAB">
        <w:rPr>
          <w:rFonts w:ascii="Palatino Linotype" w:hAnsi="Palatino Linotype"/>
          <w:i/>
          <w:iCs/>
          <w:sz w:val="24"/>
          <w:szCs w:val="24"/>
        </w:rPr>
        <w:t>legge</w:t>
      </w:r>
      <w:r w:rsidR="002C4EAB">
        <w:rPr>
          <w:rFonts w:ascii="Palatino Linotype" w:hAnsi="Palatino Linotype"/>
          <w:sz w:val="24"/>
          <w:szCs w:val="24"/>
        </w:rPr>
        <w:t xml:space="preserve">»), lasciando presagire un ruolo meramente passivo di Camera e Senato. Questi, invece, secondo la </w:t>
      </w:r>
      <w:r w:rsidR="002C4EAB" w:rsidRPr="002C4EAB">
        <w:rPr>
          <w:rFonts w:ascii="Palatino Linotype" w:hAnsi="Palatino Linotype"/>
          <w:i/>
          <w:iCs/>
          <w:sz w:val="24"/>
          <w:szCs w:val="24"/>
        </w:rPr>
        <w:t>ratio</w:t>
      </w:r>
      <w:r w:rsidR="002C4EAB">
        <w:rPr>
          <w:rFonts w:ascii="Palatino Linotype" w:hAnsi="Palatino Linotype"/>
          <w:sz w:val="24"/>
          <w:szCs w:val="24"/>
        </w:rPr>
        <w:t xml:space="preserve"> sottesa all’art. 116, comma 3, della Costituzione, non solo possono approvare o respingere l’eventuale intesa raggiunta tra lo Stato e le Regioni ordinarie coinvolte, ma </w:t>
      </w:r>
      <w:r w:rsidR="00F514A3">
        <w:rPr>
          <w:rFonts w:ascii="Palatino Linotype" w:hAnsi="Palatino Linotype"/>
          <w:sz w:val="24"/>
          <w:szCs w:val="24"/>
        </w:rPr>
        <w:t>dispongono anche del</w:t>
      </w:r>
      <w:r w:rsidR="002C4EAB">
        <w:rPr>
          <w:rFonts w:ascii="Palatino Linotype" w:hAnsi="Palatino Linotype"/>
          <w:sz w:val="24"/>
          <w:szCs w:val="24"/>
        </w:rPr>
        <w:t xml:space="preserve">la facoltà di migliorarla o peggiorarla, dal momento che la legge, </w:t>
      </w:r>
      <w:r w:rsidR="00F514A3">
        <w:rPr>
          <w:rFonts w:ascii="Palatino Linotype" w:hAnsi="Palatino Linotype"/>
          <w:sz w:val="24"/>
          <w:szCs w:val="24"/>
        </w:rPr>
        <w:t>la quale</w:t>
      </w:r>
      <w:r w:rsidR="002C4EAB">
        <w:rPr>
          <w:rFonts w:ascii="Palatino Linotype" w:hAnsi="Palatino Linotype"/>
          <w:sz w:val="24"/>
          <w:szCs w:val="24"/>
        </w:rPr>
        <w:t xml:space="preserve"> richiede la maggioranza assoluta</w:t>
      </w:r>
      <w:r w:rsidR="00F514A3">
        <w:rPr>
          <w:rFonts w:ascii="Palatino Linotype" w:hAnsi="Palatino Linotype"/>
          <w:sz w:val="24"/>
          <w:szCs w:val="24"/>
        </w:rPr>
        <w:t xml:space="preserve"> in entrambe le Camere, viene approvata «</w:t>
      </w:r>
      <w:r w:rsidR="00F514A3" w:rsidRPr="00F514A3">
        <w:rPr>
          <w:rFonts w:ascii="Palatino Linotype" w:hAnsi="Palatino Linotype"/>
          <w:i/>
          <w:iCs/>
          <w:sz w:val="24"/>
          <w:szCs w:val="24"/>
        </w:rPr>
        <w:t>sulla base dell’intesa</w:t>
      </w:r>
      <w:r w:rsidR="00F514A3">
        <w:rPr>
          <w:rFonts w:ascii="Palatino Linotype" w:hAnsi="Palatino Linotype"/>
          <w:sz w:val="24"/>
          <w:szCs w:val="24"/>
        </w:rPr>
        <w:t>» e non in conformità ad essa. A questo si aggiunga che, sulle materie, vere e proprie «pagine bianche» riempite di contenuti dalla giurisprudenza della Corte costituzionale specialmente dopo la novella del 2001, pend</w:t>
      </w:r>
      <w:r w:rsidR="00F863A1">
        <w:rPr>
          <w:rFonts w:ascii="Palatino Linotype" w:hAnsi="Palatino Linotype"/>
          <w:sz w:val="24"/>
          <w:szCs w:val="24"/>
        </w:rPr>
        <w:t>ono gli strumenti</w:t>
      </w:r>
      <w:r w:rsidR="00F514A3">
        <w:rPr>
          <w:rFonts w:ascii="Palatino Linotype" w:hAnsi="Palatino Linotype"/>
          <w:sz w:val="24"/>
          <w:szCs w:val="24"/>
        </w:rPr>
        <w:t xml:space="preserve"> </w:t>
      </w:r>
      <w:r w:rsidR="00F863A1">
        <w:rPr>
          <w:rFonts w:ascii="Palatino Linotype" w:hAnsi="Palatino Linotype"/>
          <w:sz w:val="24"/>
          <w:szCs w:val="24"/>
        </w:rPr>
        <w:t xml:space="preserve">elaborati dallo </w:t>
      </w:r>
      <w:r w:rsidR="00F514A3">
        <w:rPr>
          <w:rFonts w:ascii="Palatino Linotype" w:hAnsi="Palatino Linotype"/>
          <w:sz w:val="24"/>
          <w:szCs w:val="24"/>
        </w:rPr>
        <w:t>stesso giudice delle leggi</w:t>
      </w:r>
      <w:r w:rsidR="00F863A1">
        <w:rPr>
          <w:rFonts w:ascii="Palatino Linotype" w:hAnsi="Palatino Linotype"/>
          <w:sz w:val="24"/>
          <w:szCs w:val="24"/>
        </w:rPr>
        <w:t xml:space="preserve"> per indicare cosa rientra o meno all’interno di uno specifico ambito materiale</w:t>
      </w:r>
      <w:r w:rsidR="00DB64A1">
        <w:rPr>
          <w:rFonts w:ascii="Palatino Linotype" w:hAnsi="Palatino Linotype"/>
          <w:sz w:val="24"/>
          <w:szCs w:val="24"/>
        </w:rPr>
        <w:t>. Questo significa, come ben evidenziato dal prof. Andrea Morrone dell’Università degli Studi di Bologna, che la discrezionalità delle due parti, Stato e Regioni, non è affatto libera. Infatti, a circoscrivere i «confini» delle materie intervengono i criteri che il giudice costituzionale, dal 2001 ad oggi, ha utilizzato: il criterio di continuità ordinamentale (sent. n. 282/2002 Corte cost.), il criterio di prevalenza (</w:t>
      </w:r>
      <w:r w:rsidR="00DB64A1" w:rsidRPr="00DB64A1">
        <w:rPr>
          <w:rFonts w:ascii="Palatino Linotype" w:hAnsi="Palatino Linotype"/>
          <w:i/>
          <w:iCs/>
          <w:sz w:val="24"/>
          <w:szCs w:val="24"/>
        </w:rPr>
        <w:t>ex plurimis</w:t>
      </w:r>
      <w:r w:rsidR="00DB64A1">
        <w:rPr>
          <w:rFonts w:ascii="Palatino Linotype" w:hAnsi="Palatino Linotype"/>
          <w:sz w:val="24"/>
          <w:szCs w:val="24"/>
        </w:rPr>
        <w:t xml:space="preserve"> sent. n. 285/2005 Corte </w:t>
      </w:r>
      <w:r w:rsidR="00DB64A1">
        <w:rPr>
          <w:rFonts w:ascii="Palatino Linotype" w:hAnsi="Palatino Linotype"/>
          <w:sz w:val="24"/>
          <w:szCs w:val="24"/>
        </w:rPr>
        <w:lastRenderedPageBreak/>
        <w:t xml:space="preserve">cost.), il criterio della chiamata in sussidiarietà (sent. n. 303/2003 Corte cost.), il criterio della leale collaborazione </w:t>
      </w:r>
      <w:r w:rsidR="00DB64A1" w:rsidRPr="00DB64A1">
        <w:rPr>
          <w:rFonts w:ascii="Palatino Linotype" w:hAnsi="Palatino Linotype"/>
          <w:i/>
          <w:iCs/>
          <w:sz w:val="24"/>
          <w:szCs w:val="24"/>
        </w:rPr>
        <w:t>(ex plurimis</w:t>
      </w:r>
      <w:r w:rsidR="00DB64A1">
        <w:rPr>
          <w:rFonts w:ascii="Palatino Linotype" w:hAnsi="Palatino Linotype"/>
          <w:sz w:val="24"/>
          <w:szCs w:val="24"/>
        </w:rPr>
        <w:t xml:space="preserve"> sent. n. 278/2005 Corte cost.) etc. Pertanto, </w:t>
      </w:r>
      <w:r w:rsidR="00F863A1">
        <w:rPr>
          <w:rFonts w:ascii="Palatino Linotype" w:hAnsi="Palatino Linotype"/>
          <w:sz w:val="24"/>
          <w:szCs w:val="24"/>
        </w:rPr>
        <w:t xml:space="preserve">scrive Morrone, </w:t>
      </w:r>
      <w:r w:rsidR="00DB64A1">
        <w:rPr>
          <w:rFonts w:ascii="Palatino Linotype" w:hAnsi="Palatino Linotype"/>
          <w:sz w:val="24"/>
          <w:szCs w:val="24"/>
        </w:rPr>
        <w:t xml:space="preserve">«il </w:t>
      </w:r>
      <w:r w:rsidR="00DB64A1" w:rsidRPr="00DB64A1">
        <w:rPr>
          <w:rFonts w:ascii="Palatino Linotype" w:hAnsi="Palatino Linotype"/>
          <w:sz w:val="24"/>
          <w:szCs w:val="24"/>
        </w:rPr>
        <w:t>rinvio operato dall’art. 116 alle materie dell’art. 117, in definitiva, assomiglia molto a un rinvio mobile: nel senso che in concreto, sia in sede di intesa che in occasione dell’approvazione della legge, l’individuazione degli spazi del regionalismo differenziato sconterà inevitabilmente l’ipoteca giurisprudenziale maturata con riferimento a ciascun titolo oggettivo (con conseguenze evidenti anche in relazione alla supposta tassatività dell’elenco stabilito nell’art. 116, co. 3, Cost.)</w:t>
      </w:r>
      <w:r w:rsidR="00DB64A1">
        <w:rPr>
          <w:rFonts w:ascii="Palatino Linotype" w:hAnsi="Palatino Linotype"/>
          <w:sz w:val="24"/>
          <w:szCs w:val="24"/>
        </w:rPr>
        <w:t xml:space="preserve">» (Cfr. A. MORRONE, </w:t>
      </w:r>
      <w:r w:rsidR="00DB64A1" w:rsidRPr="00F863A1">
        <w:rPr>
          <w:rFonts w:ascii="Palatino Linotype" w:hAnsi="Palatino Linotype"/>
          <w:i/>
          <w:iCs/>
          <w:sz w:val="24"/>
          <w:szCs w:val="24"/>
        </w:rPr>
        <w:t>Il regionalismo differenziato. Commento all’art. 116, comma 3, della Costituzione</w:t>
      </w:r>
      <w:r w:rsidR="00DB64A1">
        <w:rPr>
          <w:rFonts w:ascii="Palatino Linotype" w:hAnsi="Palatino Linotype"/>
          <w:sz w:val="24"/>
          <w:szCs w:val="24"/>
        </w:rPr>
        <w:t xml:space="preserve">, in </w:t>
      </w:r>
      <w:r w:rsidR="00DB64A1" w:rsidRPr="00F863A1">
        <w:rPr>
          <w:rFonts w:ascii="Palatino Linotype" w:hAnsi="Palatino Linotype"/>
          <w:i/>
          <w:iCs/>
          <w:sz w:val="24"/>
          <w:szCs w:val="24"/>
        </w:rPr>
        <w:t>Federalismo Fiscale</w:t>
      </w:r>
      <w:r w:rsidR="00DB64A1">
        <w:rPr>
          <w:rFonts w:ascii="Palatino Linotype" w:hAnsi="Palatino Linotype"/>
          <w:sz w:val="24"/>
          <w:szCs w:val="24"/>
        </w:rPr>
        <w:t xml:space="preserve">, n. </w:t>
      </w:r>
      <w:r w:rsidR="00F863A1">
        <w:rPr>
          <w:rFonts w:ascii="Palatino Linotype" w:hAnsi="Palatino Linotype"/>
          <w:sz w:val="24"/>
          <w:szCs w:val="24"/>
        </w:rPr>
        <w:t xml:space="preserve">1/2007, p. 176). </w:t>
      </w:r>
    </w:p>
    <w:p w14:paraId="527BBE98" w14:textId="64718D70" w:rsidR="00F863A1" w:rsidRDefault="00F863A1" w:rsidP="00F863A1">
      <w:pPr>
        <w:spacing w:after="0" w:line="360" w:lineRule="auto"/>
        <w:ind w:left="1134" w:right="1134" w:firstLine="282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Ci si è, infine, chiesti, a seguito della pubblicazione nella Gazzetta Ufficiale della legge n. 86/2024</w:t>
      </w:r>
      <w:r w:rsidR="00657B6D">
        <w:rPr>
          <w:rFonts w:ascii="Palatino Linotype" w:hAnsi="Palatino Linotype"/>
          <w:sz w:val="24"/>
          <w:szCs w:val="24"/>
        </w:rPr>
        <w:t>,</w:t>
      </w:r>
      <w:r>
        <w:rPr>
          <w:rFonts w:ascii="Palatino Linotype" w:hAnsi="Palatino Linotype"/>
          <w:sz w:val="24"/>
          <w:szCs w:val="24"/>
        </w:rPr>
        <w:t xml:space="preserve"> se questa, trattandosi di una fonte che dà attuazione ad un disposto costituzionale, possa o meno essere sottoposta a referendum abrogativo </w:t>
      </w:r>
      <w:r w:rsidRPr="00F863A1">
        <w:rPr>
          <w:rFonts w:ascii="Palatino Linotype" w:hAnsi="Palatino Linotype"/>
          <w:i/>
          <w:iCs/>
          <w:sz w:val="24"/>
          <w:szCs w:val="24"/>
        </w:rPr>
        <w:t>ex</w:t>
      </w:r>
      <w:r>
        <w:rPr>
          <w:rFonts w:ascii="Palatino Linotype" w:hAnsi="Palatino Linotype"/>
          <w:sz w:val="24"/>
          <w:szCs w:val="24"/>
        </w:rPr>
        <w:t xml:space="preserve"> art. 75 Cost. Com’è noto, alcune Regioni ad ordinamento comune, quali Emilia-Romagna, Puglia, Campania, Sardegna e Toscana (la Costituzione stabilisce che il referendum abrogativo su una legge o un atto normativo avente forza di legge possa essere chiesto anche da cinque Regioni)</w:t>
      </w:r>
      <w:r w:rsidR="005D1920">
        <w:rPr>
          <w:rFonts w:ascii="Palatino Linotype" w:hAnsi="Palatino Linotype"/>
          <w:sz w:val="24"/>
          <w:szCs w:val="24"/>
        </w:rPr>
        <w:t xml:space="preserve"> si stanno muovendo </w:t>
      </w:r>
      <w:r w:rsidR="00684902">
        <w:rPr>
          <w:rFonts w:ascii="Palatino Linotype" w:hAnsi="Palatino Linotype"/>
          <w:sz w:val="24"/>
          <w:szCs w:val="24"/>
        </w:rPr>
        <w:t>per procedere all’indizione della consultazione referendaria. Ora, la Corte costituzionale, cui spetta il compito di dichiarare ammissibile il quesito, accanto alle leggi tributarie e di bilancio, le leggi di autorizzazione alla ratifica dei Trattati internazionali</w:t>
      </w:r>
      <w:r w:rsidR="00B33E30">
        <w:rPr>
          <w:rFonts w:ascii="Palatino Linotype" w:hAnsi="Palatino Linotype"/>
          <w:sz w:val="24"/>
          <w:szCs w:val="24"/>
        </w:rPr>
        <w:t xml:space="preserve"> e le leggi di amnistia e indulto per le quali la Costituzione, nel comma 2 dell’art. 75, vieta espressamente il referendum, a partire dal 1978 ha ampliato la tipologia di leggi non abrogabili. In particolare, sulle leggi a contenuto costituzionalmente vincolato (necessarie per il funzionamento degli organi costituzionali) </w:t>
      </w:r>
      <w:r w:rsidR="00B33E30">
        <w:rPr>
          <w:rFonts w:ascii="Palatino Linotype" w:hAnsi="Palatino Linotype"/>
          <w:sz w:val="24"/>
          <w:szCs w:val="24"/>
        </w:rPr>
        <w:lastRenderedPageBreak/>
        <w:t xml:space="preserve">e sulle leggi costituzionalmente obbligatorie (essenziali per il funzionamento dell’ordinamento democratico) Palazzo della Consulta ha escluso la possibilità di </w:t>
      </w:r>
      <w:r w:rsidR="00936CB5">
        <w:rPr>
          <w:rFonts w:ascii="Palatino Linotype" w:hAnsi="Palatino Linotype"/>
          <w:sz w:val="24"/>
          <w:szCs w:val="24"/>
        </w:rPr>
        <w:t xml:space="preserve">richiesta di un </w:t>
      </w:r>
      <w:r w:rsidR="00B33E30">
        <w:rPr>
          <w:rFonts w:ascii="Palatino Linotype" w:hAnsi="Palatino Linotype"/>
          <w:sz w:val="24"/>
          <w:szCs w:val="24"/>
        </w:rPr>
        <w:t xml:space="preserve">referendum abrogativo. Tuttavia, a prescindere dalle innegabili implicazioni politiche della eventuale consultazione, </w:t>
      </w:r>
      <w:r w:rsidR="00657B6D">
        <w:rPr>
          <w:rFonts w:ascii="Palatino Linotype" w:hAnsi="Palatino Linotype"/>
          <w:sz w:val="24"/>
          <w:szCs w:val="24"/>
        </w:rPr>
        <w:t xml:space="preserve">si deve rilevare come </w:t>
      </w:r>
      <w:r w:rsidR="00B33E30">
        <w:rPr>
          <w:rFonts w:ascii="Palatino Linotype" w:hAnsi="Palatino Linotype"/>
          <w:sz w:val="24"/>
          <w:szCs w:val="24"/>
        </w:rPr>
        <w:t>la legge ordinaria dello Stato n. 86/2024 non rientr</w:t>
      </w:r>
      <w:r w:rsidR="00657B6D">
        <w:rPr>
          <w:rFonts w:ascii="Palatino Linotype" w:hAnsi="Palatino Linotype"/>
          <w:sz w:val="24"/>
          <w:szCs w:val="24"/>
        </w:rPr>
        <w:t>i</w:t>
      </w:r>
      <w:r w:rsidR="00B33E30">
        <w:rPr>
          <w:rFonts w:ascii="Palatino Linotype" w:hAnsi="Palatino Linotype"/>
          <w:sz w:val="24"/>
          <w:szCs w:val="24"/>
        </w:rPr>
        <w:t xml:space="preserve"> in alcuno degli ambiti sopra indicati. </w:t>
      </w:r>
      <w:r w:rsidR="0045288A">
        <w:rPr>
          <w:rFonts w:ascii="Palatino Linotype" w:hAnsi="Palatino Linotype"/>
          <w:sz w:val="24"/>
          <w:szCs w:val="24"/>
        </w:rPr>
        <w:t>Non solo la legge «Calderoli» costituisce una delle tante modalità di attuazione dell’art. 116, comma 3, Cost., ma la sua possibile abrogazione né compromette</w:t>
      </w:r>
      <w:r w:rsidR="00936CB5">
        <w:rPr>
          <w:rFonts w:ascii="Palatino Linotype" w:hAnsi="Palatino Linotype"/>
          <w:sz w:val="24"/>
          <w:szCs w:val="24"/>
        </w:rPr>
        <w:t>rebbe</w:t>
      </w:r>
      <w:r w:rsidR="0045288A">
        <w:rPr>
          <w:rFonts w:ascii="Palatino Linotype" w:hAnsi="Palatino Linotype"/>
          <w:sz w:val="24"/>
          <w:szCs w:val="24"/>
        </w:rPr>
        <w:t xml:space="preserve"> il funzionamento degli organi costituzionali e di rilievo costituzionale, né incide</w:t>
      </w:r>
      <w:r w:rsidR="00936CB5">
        <w:rPr>
          <w:rFonts w:ascii="Palatino Linotype" w:hAnsi="Palatino Linotype"/>
          <w:sz w:val="24"/>
          <w:szCs w:val="24"/>
        </w:rPr>
        <w:t>rebbe</w:t>
      </w:r>
      <w:r w:rsidR="0045288A">
        <w:rPr>
          <w:rFonts w:ascii="Palatino Linotype" w:hAnsi="Palatino Linotype"/>
          <w:sz w:val="24"/>
          <w:szCs w:val="24"/>
        </w:rPr>
        <w:t xml:space="preserve"> sulla tenuta del sistema democratico. Certamente un approccio più sinottico e più approfondito del rapporto tra centro e periferia (soprattutto se ha ancora senso continuare con il modello dello Stato regionale) consentirebbe un’analisi molto meno ideologica rispetto a quanto sta accadendo </w:t>
      </w:r>
      <w:r w:rsidR="00936CB5">
        <w:rPr>
          <w:rFonts w:ascii="Palatino Linotype" w:hAnsi="Palatino Linotype"/>
          <w:sz w:val="24"/>
          <w:szCs w:val="24"/>
        </w:rPr>
        <w:t>attorno</w:t>
      </w:r>
      <w:r w:rsidR="0045288A">
        <w:rPr>
          <w:rFonts w:ascii="Palatino Linotype" w:hAnsi="Palatino Linotype"/>
          <w:sz w:val="24"/>
          <w:szCs w:val="24"/>
        </w:rPr>
        <w:t xml:space="preserve"> a questo tema. </w:t>
      </w:r>
    </w:p>
    <w:p w14:paraId="6163BF4A" w14:textId="77777777" w:rsidR="0045288A" w:rsidRDefault="0045288A" w:rsidP="00F863A1">
      <w:pPr>
        <w:spacing w:after="0" w:line="360" w:lineRule="auto"/>
        <w:ind w:left="1134" w:right="1134" w:firstLine="282"/>
        <w:jc w:val="both"/>
        <w:rPr>
          <w:rFonts w:ascii="Palatino Linotype" w:hAnsi="Palatino Linotype"/>
          <w:sz w:val="24"/>
          <w:szCs w:val="24"/>
        </w:rPr>
      </w:pPr>
    </w:p>
    <w:p w14:paraId="05D470C3" w14:textId="77777777" w:rsidR="0045288A" w:rsidRDefault="0045288A" w:rsidP="00F863A1">
      <w:pPr>
        <w:spacing w:after="0" w:line="360" w:lineRule="auto"/>
        <w:ind w:left="1134" w:right="1134" w:firstLine="282"/>
        <w:jc w:val="both"/>
        <w:rPr>
          <w:rFonts w:ascii="Palatino Linotype" w:hAnsi="Palatino Linotype"/>
          <w:sz w:val="24"/>
          <w:szCs w:val="24"/>
        </w:rPr>
      </w:pPr>
    </w:p>
    <w:p w14:paraId="3A66C644" w14:textId="77777777" w:rsidR="0045288A" w:rsidRDefault="0045288A" w:rsidP="0045288A">
      <w:pPr>
        <w:spacing w:after="0" w:line="360" w:lineRule="auto"/>
        <w:ind w:left="1134" w:right="1134" w:firstLine="282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(*) Professore strutturato in Diritto Costituzionale e Diritto Pubblico Comparato </w:t>
      </w:r>
    </w:p>
    <w:p w14:paraId="5123F1F4" w14:textId="77777777" w:rsidR="0045288A" w:rsidRDefault="0045288A" w:rsidP="0045288A">
      <w:pPr>
        <w:spacing w:after="0" w:line="360" w:lineRule="auto"/>
        <w:ind w:left="1134" w:right="1134" w:firstLine="282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presso la SSML/Istituto di grado universitario </w:t>
      </w:r>
    </w:p>
    <w:p w14:paraId="73CA7A41" w14:textId="13D0ED15" w:rsidR="0045288A" w:rsidRDefault="0045288A" w:rsidP="0045288A">
      <w:pPr>
        <w:spacing w:after="0" w:line="360" w:lineRule="auto"/>
        <w:ind w:left="1134" w:right="1134" w:firstLine="282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«</w:t>
      </w:r>
      <w:r w:rsidRPr="0045288A">
        <w:rPr>
          <w:rFonts w:ascii="Palatino Linotype" w:hAnsi="Palatino Linotype"/>
          <w:i/>
          <w:iCs/>
          <w:sz w:val="24"/>
          <w:szCs w:val="24"/>
        </w:rPr>
        <w:t>san Domenico</w:t>
      </w:r>
      <w:r>
        <w:rPr>
          <w:rFonts w:ascii="Palatino Linotype" w:hAnsi="Palatino Linotype"/>
          <w:sz w:val="24"/>
          <w:szCs w:val="24"/>
        </w:rPr>
        <w:t xml:space="preserve">» di Roma. </w:t>
      </w:r>
    </w:p>
    <w:p w14:paraId="2F86A231" w14:textId="3C9323A0" w:rsidR="0045288A" w:rsidRDefault="0045288A" w:rsidP="0045288A">
      <w:pPr>
        <w:spacing w:after="0" w:line="360" w:lineRule="auto"/>
        <w:ind w:left="1134" w:right="1134" w:firstLine="282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Dottore di Ricerca in Istituzioni di Diritto Pubblico. </w:t>
      </w:r>
    </w:p>
    <w:p w14:paraId="0D9EF284" w14:textId="77777777" w:rsidR="00D56384" w:rsidRDefault="00D56384" w:rsidP="0045288A">
      <w:pPr>
        <w:spacing w:after="0" w:line="360" w:lineRule="auto"/>
        <w:ind w:left="1134" w:right="1134" w:firstLine="282"/>
        <w:jc w:val="right"/>
        <w:rPr>
          <w:rFonts w:ascii="Palatino Linotype" w:hAnsi="Palatino Linotype"/>
          <w:sz w:val="24"/>
          <w:szCs w:val="24"/>
        </w:rPr>
      </w:pPr>
    </w:p>
    <w:p w14:paraId="36E259D5" w14:textId="77777777" w:rsidR="00D56384" w:rsidRDefault="00D56384" w:rsidP="0045288A">
      <w:pPr>
        <w:spacing w:after="0" w:line="360" w:lineRule="auto"/>
        <w:ind w:left="1134" w:right="1134" w:firstLine="282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(**) Associato di Morale sociale presso la Pontificia Facoltà Teologica della Sardegna. Vice-Presidente del </w:t>
      </w:r>
    </w:p>
    <w:p w14:paraId="4B83DB52" w14:textId="3A542465" w:rsidR="00D56384" w:rsidRDefault="00D56384" w:rsidP="0045288A">
      <w:pPr>
        <w:spacing w:after="0" w:line="360" w:lineRule="auto"/>
        <w:ind w:left="1134" w:right="1134" w:firstLine="282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Polo territoriale «</w:t>
      </w:r>
      <w:r w:rsidRPr="00D56384">
        <w:rPr>
          <w:rFonts w:ascii="Palatino Linotype" w:hAnsi="Palatino Linotype"/>
          <w:i/>
          <w:iCs/>
          <w:sz w:val="24"/>
          <w:szCs w:val="24"/>
        </w:rPr>
        <w:t>Unikoinè</w:t>
      </w:r>
      <w:r>
        <w:rPr>
          <w:rFonts w:ascii="Palatino Linotype" w:hAnsi="Palatino Linotype"/>
          <w:sz w:val="24"/>
          <w:szCs w:val="24"/>
        </w:rPr>
        <w:t>» della SSML/Istituto di grado universitario «</w:t>
      </w:r>
      <w:r w:rsidRPr="00D56384">
        <w:rPr>
          <w:rFonts w:ascii="Palatino Linotype" w:hAnsi="Palatino Linotype"/>
          <w:i/>
          <w:iCs/>
          <w:sz w:val="24"/>
          <w:szCs w:val="24"/>
        </w:rPr>
        <w:t>san Domenico</w:t>
      </w:r>
      <w:r>
        <w:rPr>
          <w:rFonts w:ascii="Palatino Linotype" w:hAnsi="Palatino Linotype"/>
          <w:sz w:val="24"/>
          <w:szCs w:val="24"/>
        </w:rPr>
        <w:t xml:space="preserve">» di Roma. </w:t>
      </w:r>
    </w:p>
    <w:p w14:paraId="5F4BEE05" w14:textId="16BACCC0" w:rsidR="00D56384" w:rsidRPr="0045288A" w:rsidRDefault="00D56384" w:rsidP="0045288A">
      <w:pPr>
        <w:spacing w:after="0" w:line="360" w:lineRule="auto"/>
        <w:ind w:left="1134" w:right="1134" w:firstLine="28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Vicario generale della Diocesi di Oristano. </w:t>
      </w:r>
    </w:p>
    <w:sectPr w:rsidR="00D56384" w:rsidRPr="004528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C3"/>
    <w:rsid w:val="000D45E2"/>
    <w:rsid w:val="00160EC5"/>
    <w:rsid w:val="002B162C"/>
    <w:rsid w:val="002C4EAB"/>
    <w:rsid w:val="003D304B"/>
    <w:rsid w:val="0045288A"/>
    <w:rsid w:val="005D1920"/>
    <w:rsid w:val="00657B6D"/>
    <w:rsid w:val="00684902"/>
    <w:rsid w:val="00936CB5"/>
    <w:rsid w:val="00A100AA"/>
    <w:rsid w:val="00A139F5"/>
    <w:rsid w:val="00B33E30"/>
    <w:rsid w:val="00C45CC3"/>
    <w:rsid w:val="00CD03AE"/>
    <w:rsid w:val="00D56384"/>
    <w:rsid w:val="00DB64A1"/>
    <w:rsid w:val="00EC65DE"/>
    <w:rsid w:val="00F514A3"/>
    <w:rsid w:val="00F81744"/>
    <w:rsid w:val="00F8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7F56"/>
  <w15:chartTrackingRefBased/>
  <w15:docId w15:val="{39680969-188E-4A4C-A63C-E0BE4DAA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00AA"/>
  </w:style>
  <w:style w:type="paragraph" w:styleId="Titolo1">
    <w:name w:val="heading 1"/>
    <w:basedOn w:val="Normale"/>
    <w:next w:val="Normale"/>
    <w:link w:val="Titolo1Carattere"/>
    <w:uiPriority w:val="9"/>
    <w:qFormat/>
    <w:rsid w:val="00C45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5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5C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5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5C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5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5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5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5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5C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5C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5C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5CC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5CC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5CC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5CC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5CC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5CC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5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45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5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5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5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5CC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45CC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5CC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5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5CC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5C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Trabucco</dc:creator>
  <cp:keywords/>
  <dc:description/>
  <cp:lastModifiedBy>Daniele Trabucco</cp:lastModifiedBy>
  <cp:revision>8</cp:revision>
  <dcterms:created xsi:type="dcterms:W3CDTF">2024-07-08T14:44:00Z</dcterms:created>
  <dcterms:modified xsi:type="dcterms:W3CDTF">2024-07-09T15:08:00Z</dcterms:modified>
</cp:coreProperties>
</file>